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rPr>
          <w:sz w:val="20"/>
          <w:szCs w:val="20"/>
        </w:rPr>
      </w:pPr>
      <w:r>
        <w:rPr>
          <w:sz w:val="20"/>
          <w:szCs w:val="20"/>
        </w:rPr>
        <w:t>oznaczenie sprawy: 5/Zapytanie/2025</w:t>
      </w:r>
    </w:p>
    <w:p>
      <w:pPr>
        <w:pStyle w:val="Gwka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Gwka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Oznaczenie/Oferowany model: …………………………………..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Producent: …………………………………………………………………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Kraj producenta: ………………………………………………………….</w:t>
      </w:r>
    </w:p>
    <w:p>
      <w:pPr>
        <w:pStyle w:val="Normal"/>
        <w:rPr/>
      </w:pPr>
      <w:r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jc w:val="left"/>
        <w:tblInd w:w="-431" w:type="dxa"/>
        <w:tblLayout w:type="fixed"/>
        <w:tblCellMar>
          <w:top w:w="0" w:type="dxa"/>
          <w:left w:w="65" w:type="dxa"/>
          <w:bottom w:w="0" w:type="dxa"/>
          <w:right w:w="65" w:type="dxa"/>
        </w:tblCellMar>
        <w:tblLook w:firstRow="0" w:noVBand="0" w:lastRow="0" w:firstColumn="0" w:lastColumn="0" w:noHBand="0" w:val="0000"/>
      </w:tblPr>
      <w:tblGrid>
        <w:gridCol w:w="993"/>
        <w:gridCol w:w="4776"/>
        <w:gridCol w:w="892"/>
        <w:gridCol w:w="1702"/>
        <w:gridCol w:w="1986"/>
      </w:tblGrid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  <w:t>Pakiet nr  6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Arial Nova" w:hAnsi="Arial Nova" w:cstheme="minorHAnsi"/>
                <w:b/>
                <w:caps/>
                <w:sz w:val="18"/>
                <w:szCs w:val="18"/>
              </w:rPr>
              <w:t>stolik medyczny woelofunkcyjny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Mebel jest fabrycznie nowy, nieużywany. Rok produkcji nie starszy niż 2024 r.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………………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Mebel jest zgodny z Rozporządzeniem Ministra Zdrowia z 26 marca 2019 r., które dotyczy szczegółowych wymagań, jakie powinny spełniać pomieszczenia i urządzenia podmiotu wykonującego działalność leczniczą.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………………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Stolik osadzony na kołach obrotowych z możliwością blokady.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………………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Stolik wykonany ze stali nierdzewnej w kolorze białym.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………………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Wymiary [W x Gł x Sz]: </w:t>
            </w:r>
            <w:r>
              <w:rPr>
                <w:rFonts w:cs="Calibri"/>
                <w:bCs/>
              </w:rPr>
              <w:t xml:space="preserve">+/- </w:t>
            </w:r>
            <w:r>
              <w:rPr>
                <w:rFonts w:cs="Calibri"/>
                <w:bCs/>
              </w:rPr>
              <w:t>960 x 430 x 600 mm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……………… </w:t>
            </w:r>
            <w:r>
              <w:rPr>
                <w:rFonts w:cs="Calibri"/>
                <w:bCs/>
              </w:rPr>
              <w:t>Podać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Wyposażony w 6 szuflad (2 duże + 4 mniejsze) na prowadnicach teleskopowych.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10349" w:type="dxa"/>
        <w:jc w:val="left"/>
        <w:tblInd w:w="-431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3"/>
        <w:gridCol w:w="5669"/>
        <w:gridCol w:w="1702"/>
        <w:gridCol w:w="1984"/>
      </w:tblGrid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ind w:left="360" w:hanging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0000" w:themeColor="text1"/>
                <w:lang w:eastAsia="zh-CN" w:bidi="pl-PL"/>
              </w:rPr>
            </w:pPr>
            <w:r>
              <w:rPr>
                <w:b/>
                <w:color w:val="000000" w:themeColor="text1"/>
              </w:rPr>
              <w:t xml:space="preserve">Warunki gwarancji i serwisu                                                                  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 w:themeColor="text1"/>
                <w:lang w:eastAsia="zh-CN" w:bidi="pl-P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 w:themeColor="text1"/>
                <w:lang w:eastAsia="zh-CN" w:bidi="pl-P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Gwarancja min. 24 miesięcy.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……………</w:t>
            </w:r>
            <w:r>
              <w:rPr>
                <w:color w:val="000000" w:themeColor="text1"/>
                <w:lang w:eastAsia="zh-CN" w:bidi="pl-PL"/>
              </w:rPr>
              <w:t>. Podać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</w:rPr>
            </w:pPr>
            <w:r>
              <w:rPr>
                <w:rFonts w:cs="Calibri"/>
                <w:bCs/>
                <w:color w:val="000000" w:themeColor="text1"/>
              </w:rPr>
              <w:t>Odpowiedzialność z tytułu gwarancji obejmuje wszelkie wady przedmiotu umowy nie wynikające z winy Zamawiającego. W okresie gwarancji Wykonawca jest zobowiązany dokonać nieodpłatnie naprawy lub wymiany przedmiotu zamówienia lub jego poszczególnych części na fabrycznie nowe, także w przypadku, gdy konieczność naprawy lub wymiany jest wynikiem eksploatacyjnego zużycia asortymentu lub jego części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</w:rPr>
            </w:pPr>
            <w:r>
              <w:rPr>
                <w:rFonts w:cs="Calibri"/>
              </w:rPr>
              <w:t>Naprawa i wymiana części na fabrycznie nowe za wyjątkiem sytuacji, kiedy awaria spowodowana jest nieprawidłową eksploatacją asortymentu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Wszystkie naprawy, przeglądy, konserwacje wraz z częściami zamiennymi i materiałami potrzebnymi do ich wykonania </w:t>
            </w:r>
            <w:r>
              <w:rPr>
                <w:rFonts w:cs="Calibri"/>
              </w:rPr>
              <w:t>(jeśli dotyczy).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Czas reakcji (przystąpienia do naprawy) na zgłoszenie awarii max. 48 godzin  (dotyczy dni roboczych)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>
      <w:pPr>
        <w:pStyle w:val="Normal"/>
        <w:widowControl w:val="false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zapytaniu ofertowym, spowoduje odrzucenie oferty. </w:t>
      </w:r>
    </w:p>
    <w:p>
      <w:pPr>
        <w:pStyle w:val="Normal"/>
        <w:widowControl w:val="false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</w:rPr>
        <w:t xml:space="preserve">Przez rozwiązania równoważne zamawiający rozumie takie, które co najmniej spełniają wymagania określone w niniejszej specyfikacji oraz charakteryzują się parametrami technicznymi, jakościowymi </w:t>
        <w:br/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  <w:br/>
        <w:t>w stosunku do rozwiązań opisanych w niniejszej specyfikacji,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  <w:softHyphen/>
        <w:t>ważne.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</w:rPr>
        <w:t>W przypadku, gdy w opisie przedmiotu zamówienia znajdą się odniesienia do norm,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ocen</w:t>
      </w:r>
      <w:r>
        <w:rPr>
          <w:rFonts w:cs="Calibri" w:cstheme="minorHAnsi"/>
          <w:spacing w:val="70"/>
        </w:rPr>
        <w:t xml:space="preserve"> </w:t>
      </w:r>
      <w:r>
        <w:rPr>
          <w:rFonts w:cs="Calibri" w:cstheme="minorHAnsi"/>
        </w:rPr>
        <w:t>technicznych,</w:t>
      </w:r>
      <w:r>
        <w:rPr>
          <w:rFonts w:cs="Calibri" w:cstheme="minorHAnsi"/>
          <w:spacing w:val="70"/>
        </w:rPr>
        <w:t xml:space="preserve"> </w:t>
      </w:r>
      <w:r>
        <w:rPr>
          <w:rFonts w:cs="Calibri" w:cstheme="minorHAnsi"/>
        </w:rPr>
        <w:t>specyfikacji</w:t>
      </w:r>
      <w:r>
        <w:rPr>
          <w:rFonts w:cs="Calibri" w:cstheme="minorHAnsi"/>
          <w:spacing w:val="70"/>
        </w:rPr>
        <w:t xml:space="preserve"> </w:t>
      </w:r>
      <w:r>
        <w:rPr>
          <w:rFonts w:cs="Calibri" w:cstheme="minorHAnsi"/>
        </w:rPr>
        <w:t>technicznych</w:t>
      </w:r>
      <w:r>
        <w:rPr>
          <w:rFonts w:cs="Calibri" w:cstheme="minorHAnsi"/>
          <w:spacing w:val="71"/>
        </w:rPr>
        <w:t xml:space="preserve"> </w:t>
      </w:r>
      <w:r>
        <w:rPr>
          <w:rFonts w:cs="Calibri" w:cstheme="minorHAnsi"/>
        </w:rPr>
        <w:t>i</w:t>
      </w:r>
      <w:r>
        <w:rPr>
          <w:rFonts w:cs="Calibri" w:cstheme="minorHAnsi"/>
          <w:spacing w:val="70"/>
        </w:rPr>
        <w:t xml:space="preserve"> </w:t>
      </w:r>
      <w:r>
        <w:rPr>
          <w:rFonts w:cs="Calibri" w:cstheme="minorHAnsi"/>
        </w:rPr>
        <w:t>systemów</w:t>
      </w:r>
      <w:r>
        <w:rPr>
          <w:rFonts w:cs="Calibri" w:cstheme="minorHAnsi"/>
          <w:spacing w:val="70"/>
        </w:rPr>
        <w:t xml:space="preserve"> </w:t>
      </w:r>
      <w:r>
        <w:rPr>
          <w:rFonts w:cs="Calibri" w:cstheme="minorHAnsi"/>
        </w:rPr>
        <w:t>referencji</w:t>
      </w:r>
      <w:r>
        <w:rPr>
          <w:rFonts w:cs="Calibri" w:cstheme="minorHAnsi"/>
          <w:spacing w:val="71"/>
        </w:rPr>
        <w:t xml:space="preserve"> </w:t>
      </w:r>
      <w:r>
        <w:rPr>
          <w:rFonts w:cs="Calibri" w:cstheme="minorHAnsi"/>
        </w:rPr>
        <w:t xml:space="preserve">technicznych, </w:t>
      </w:r>
      <w:r>
        <w:rPr>
          <w:rFonts w:cs="Calibri" w:cstheme="minorHAnsi"/>
          <w:spacing w:val="-15"/>
        </w:rPr>
        <w:t xml:space="preserve"> </w:t>
      </w:r>
      <w:r>
        <w:rPr>
          <w:rFonts w:cs="Calibri" w:cstheme="minorHAnsi"/>
        </w:rPr>
        <w:t>Zamawiający</w:t>
      </w:r>
      <w:r>
        <w:rPr>
          <w:rFonts w:cs="Calibri" w:cstheme="minorHAnsi"/>
          <w:spacing w:val="-16"/>
        </w:rPr>
        <w:t xml:space="preserve"> </w:t>
      </w:r>
      <w:r>
        <w:rPr>
          <w:rFonts w:cs="Calibri" w:cstheme="minorHAnsi"/>
        </w:rPr>
        <w:t>dopuszcza</w:t>
      </w:r>
      <w:r>
        <w:rPr>
          <w:rFonts w:cs="Calibri" w:cstheme="minorHAnsi"/>
          <w:spacing w:val="-68"/>
        </w:rPr>
        <w:t xml:space="preserve">    </w:t>
      </w:r>
      <w:r>
        <w:rPr>
          <w:rFonts w:cs="Calibri" w:cstheme="minorHAnsi"/>
        </w:rPr>
        <w:t xml:space="preserve"> rozwiązania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333333"/>
          <w:shd w:fill="FFFFFF" w:val="clear"/>
        </w:rPr>
      </w:pPr>
      <w:r>
        <w:rPr>
          <w:rFonts w:cs="Calibri" w:cstheme="minorHAnsi"/>
          <w:color w:val="333333"/>
          <w:shd w:fill="FFFFFF" w:val="clear"/>
        </w:rPr>
        <w:t>Biorąc pod uwagę powyższe zamawiający wskazuje, że we wszystkich miejscach w opisie przedmiotu zamówienia, gdzie dokonano opisu poprzez wskazanie na konkretne normy</w:t>
      </w:r>
      <w:r>
        <w:rPr>
          <w:rStyle w:val="Appleconvertedspace"/>
          <w:rFonts w:cs="Calibri" w:cstheme="minorHAnsi"/>
          <w:color w:val="333333"/>
          <w:shd w:fill="FFFFFF" w:val="clear"/>
        </w:rPr>
        <w:t> </w:t>
      </w:r>
      <w:r>
        <w:rPr>
          <w:rStyle w:val="Strong"/>
          <w:rFonts w:cs="Calibri" w:cstheme="minorHAnsi"/>
          <w:color w:val="333333"/>
        </w:rPr>
        <w:t>dopuszcza się rozwiązania równoważne opisywanym, i jednocześnie w każdym miejscu Zamawiający wprowadza określenie "lub równoważne"</w:t>
      </w:r>
      <w:r>
        <w:rPr>
          <w:rStyle w:val="Appleconvertedspace"/>
          <w:rFonts w:cs="Calibri" w:cstheme="minorHAnsi"/>
          <w:color w:val="333333"/>
          <w:shd w:fill="FFFFFF" w:val="clear"/>
        </w:rPr>
        <w:t> </w:t>
      </w:r>
      <w:r>
        <w:rPr>
          <w:rFonts w:cs="Calibri" w:cstheme="minorHAnsi"/>
          <w:color w:val="333333"/>
          <w:shd w:fill="FFFFFF" w:val="clear"/>
        </w:rPr>
        <w:t>(</w:t>
      </w:r>
      <w:r>
        <w:fldChar w:fldCharType="begin"/>
      </w:r>
      <w:r>
        <w:rPr>
          <w:rStyle w:val="Czeinternetowe"/>
          <w:rFonts w:cs="Calibri"/>
          <w:color w:val="551A8B"/>
        </w:rPr>
        <w:instrText> HYPERLINK "https://rpo.slaskie.pl/czytaj/informacja_dot_opisu_przedmiotu_zamowienia" \l "prawo1" \n Odnośnik do właściwego zapisu prawnego</w:instrText>
      </w:r>
      <w:r>
        <w:rPr>
          <w:rStyle w:val="Czeinternetowe"/>
          <w:rFonts w:cs="Calibri"/>
          <w:color w:val="551A8B"/>
        </w:rPr>
        <w:fldChar w:fldCharType="separate"/>
      </w:r>
      <w:r>
        <w:rPr>
          <w:rStyle w:val="Czeinternetowe"/>
          <w:rFonts w:cs="Calibri" w:cstheme="minorHAnsi"/>
          <w:color w:val="551A8B"/>
        </w:rPr>
        <w:t>podstawa prawna art. 42 ust. 3 dyrektywy 2014/24/UE</w:t>
      </w:r>
      <w:r>
        <w:rPr>
          <w:rStyle w:val="Czeinternetowe"/>
          <w:rFonts w:cs="Calibri"/>
          <w:color w:val="551A8B"/>
        </w:rPr>
        <w:fldChar w:fldCharType="end"/>
      </w:r>
      <w:r>
        <w:rPr>
          <w:rFonts w:cs="Calibri" w:cstheme="minorHAnsi"/>
          <w:color w:val="333333"/>
          <w:shd w:fill="FFFFFF" w:val="clear"/>
        </w:rPr>
        <w:t>).</w:t>
      </w:r>
    </w:p>
    <w:p>
      <w:pPr>
        <w:pStyle w:val="Rozdzia"/>
        <w:spacing w:before="0" w:after="0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p>
      <w:pPr>
        <w:pStyle w:val="Rozdzia"/>
        <w:spacing w:before="0" w:after="0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p>
      <w:pPr>
        <w:pStyle w:val="Rozdzia"/>
        <w:spacing w:before="0" w:after="0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sectPr>
      <w:headerReference w:type="default" r:id="rId2"/>
      <w:type w:val="nextPage"/>
      <w:pgSz w:w="11906" w:h="16838"/>
      <w:pgMar w:left="1417" w:right="1417" w:gutter="0" w:header="708" w:top="765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rial Nov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b/>
        <w:b/>
        <w:bCs/>
      </w:rPr>
    </w:pPr>
    <w:r>
      <w:rPr/>
      <w:drawing>
        <wp:inline distT="0" distB="0" distL="0" distR="0">
          <wp:extent cx="6400165" cy="69469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right"/>
      <w:rPr>
        <w:b/>
        <w:b/>
        <w:bCs/>
      </w:rPr>
    </w:pPr>
    <w:r>
      <w:rPr>
        <w:b/>
        <w:bCs/>
      </w:rPr>
      <w:t>ZAŁĄCZNIK NR 3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37f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337f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94761"/>
    <w:rPr/>
  </w:style>
  <w:style w:type="character" w:styleId="Czeinternetowe">
    <w:name w:val="Łącze internetowe"/>
    <w:rsid w:val="004d79ef"/>
    <w:rPr>
      <w:color w:val="0000FF"/>
      <w:u w:val="single"/>
    </w:rPr>
  </w:style>
  <w:style w:type="character" w:styleId="Strong">
    <w:name w:val="Strong"/>
    <w:uiPriority w:val="22"/>
    <w:qFormat/>
    <w:rsid w:val="004d79ef"/>
    <w:rPr>
      <w:b/>
      <w:bCs/>
    </w:rPr>
  </w:style>
  <w:style w:type="character" w:styleId="Appleconvertedspace" w:customStyle="1">
    <w:name w:val="apple-converted-space"/>
    <w:basedOn w:val="DefaultParagraphFont"/>
    <w:qFormat/>
    <w:rsid w:val="004d79e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337f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337f0"/>
    <w:pPr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kern w:val="0"/>
      <w:lang w:eastAsia="pl-PL"/>
      <w14:ligatures w14:val="none"/>
    </w:rPr>
  </w:style>
  <w:style w:type="paragraph" w:styleId="ZnakZnak1" w:customStyle="1">
    <w:name w:val="Znak Znak1"/>
    <w:basedOn w:val="Normal"/>
    <w:qFormat/>
    <w:rsid w:val="007337f0"/>
    <w:pPr>
      <w:spacing w:lineRule="auto" w:line="240" w:before="0" w:after="0"/>
    </w:pPr>
    <w:rPr>
      <w:rFonts w:ascii="Arial" w:hAnsi="Arial" w:eastAsia="Times New Roman" w:cs="Arial"/>
      <w:kern w:val="0"/>
      <w:sz w:val="24"/>
      <w:szCs w:val="24"/>
      <w:lang w:eastAsia="pl-PL"/>
      <w14:ligatures w14:val="none"/>
    </w:rPr>
  </w:style>
  <w:style w:type="paragraph" w:styleId="ZnakZnak" w:customStyle="1">
    <w:name w:val="Znak Znak"/>
    <w:basedOn w:val="Normal"/>
    <w:qFormat/>
    <w:rsid w:val="002905ca"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"/>
    <w:link w:val="StopkaZnak"/>
    <w:uiPriority w:val="99"/>
    <w:unhideWhenUsed/>
    <w:rsid w:val="0079476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" w:customStyle="1">
    <w:name w:val="Styl"/>
    <w:basedOn w:val="Normal"/>
    <w:qFormat/>
    <w:rsid w:val="00770b51"/>
    <w:pPr>
      <w:spacing w:lineRule="auto" w:line="240" w:before="0" w:after="0"/>
    </w:pPr>
    <w:rPr>
      <w:rFonts w:ascii="Arial" w:hAnsi="Arial" w:eastAsia="Times New Roman" w:cs="Arial"/>
      <w:kern w:val="0"/>
      <w:sz w:val="24"/>
      <w:szCs w:val="24"/>
      <w:lang w:eastAsia="pl-PL"/>
      <w14:ligatures w14:val="none"/>
    </w:rPr>
  </w:style>
  <w:style w:type="paragraph" w:styleId="Rozdzia" w:customStyle="1">
    <w:name w:val="rozdział"/>
    <w:basedOn w:val="Normal"/>
    <w:autoRedefine/>
    <w:qFormat/>
    <w:rsid w:val="004d79ef"/>
    <w:pPr>
      <w:tabs>
        <w:tab w:val="clear" w:pos="708"/>
        <w:tab w:val="left" w:pos="0" w:leader="none"/>
      </w:tabs>
      <w:spacing w:lineRule="auto" w:line="240" w:before="0" w:after="120"/>
    </w:pPr>
    <w:rPr>
      <w:rFonts w:ascii="Calibri" w:hAnsi="Calibri" w:eastAsia="Times New Roman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Application>LibreOffice/7.2.5.2$Windows_X86_64 LibreOffice_project/499f9727c189e6ef3471021d6132d4c694f357e5</Application>
  <AppVersion>15.0000</AppVersion>
  <Pages>2</Pages>
  <Words>546</Words>
  <Characters>3737</Characters>
  <CharactersWithSpaces>4303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2025-03-17T09:46:00Z</dcterms:created>
  <dc:creator>Jarosław Kańkowski</dc:creator>
  <dc:description/>
  <dc:language>pl-PL</dc:language>
  <cp:lastModifiedBy/>
  <dcterms:modified xsi:type="dcterms:W3CDTF">2025-06-12T08:18:50Z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